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Layout w:type="fixed"/>
        <w:tblLook w:val="00A0" w:firstRow="1" w:lastRow="0" w:firstColumn="1" w:lastColumn="0" w:noHBand="0" w:noVBand="0"/>
      </w:tblPr>
      <w:tblGrid>
        <w:gridCol w:w="9606"/>
      </w:tblGrid>
      <w:tr w:rsidR="00E3372D" w:rsidRPr="001D69FE" w:rsidTr="00E3372D">
        <w:trPr>
          <w:trHeight w:val="295"/>
        </w:trPr>
        <w:tc>
          <w:tcPr>
            <w:tcW w:w="9606" w:type="dxa"/>
          </w:tcPr>
          <w:p w:rsidR="00E3372D" w:rsidRPr="001D69FE" w:rsidRDefault="00E3372D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N.B. Dependent variable Mortality, OR odds ratio, CI confidence interval</w:t>
            </w:r>
          </w:p>
          <w:p w:rsidR="00E3372D" w:rsidRPr="001D69FE" w:rsidRDefault="00E3372D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2812A90" wp14:editId="304A79D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931545</wp:posOffset>
                  </wp:positionV>
                  <wp:extent cx="6348730" cy="26822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8730" cy="26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R2= 0.740</w:t>
            </w:r>
          </w:p>
        </w:tc>
      </w:tr>
    </w:tbl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color w:val="000000"/>
          <w:sz w:val="24"/>
          <w:szCs w:val="24"/>
        </w:rPr>
        <w:br w:type="textWrapping" w:clear="all"/>
      </w:r>
    </w:p>
    <w:bookmarkEnd w:id="0"/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D69FE">
        <w:rPr>
          <w:rFonts w:asciiTheme="majorBidi" w:hAnsiTheme="majorBidi" w:cstheme="majorBidi"/>
          <w:b/>
          <w:bCs/>
          <w:color w:val="000000"/>
          <w:sz w:val="24"/>
          <w:szCs w:val="24"/>
        </w:rPr>
        <w:t>(Figure 1): "Flowchart showing distribution of the cases."</w:t>
      </w: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D69FE">
        <w:rPr>
          <w:rFonts w:asciiTheme="majorBidi" w:hAnsiTheme="majorBidi" w:cstheme="majorBidi"/>
          <w:noProof/>
          <w:color w:val="000000"/>
          <w:sz w:val="24"/>
          <w:szCs w:val="24"/>
        </w:rPr>
        <w:drawing>
          <wp:inline distT="0" distB="0" distL="0" distR="0" wp14:anchorId="13AF2385" wp14:editId="40F25BF0">
            <wp:extent cx="6211019" cy="2518914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1D69FE">
        <w:rPr>
          <w:rFonts w:asciiTheme="majorBidi" w:hAnsiTheme="majorBidi" w:cstheme="majorBidi"/>
          <w:b/>
          <w:bCs/>
          <w:color w:val="000000"/>
          <w:sz w:val="24"/>
          <w:szCs w:val="24"/>
        </w:rPr>
        <w:t>Figure (2): Relation between Gestational age and MV outcome.</w:t>
      </w: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D69FE">
        <w:rPr>
          <w:rFonts w:asciiTheme="majorBidi" w:hAnsiTheme="majorBidi" w:cstheme="majorBidi"/>
          <w:noProof/>
          <w:color w:val="000000"/>
          <w:sz w:val="24"/>
          <w:szCs w:val="24"/>
        </w:rPr>
        <w:lastRenderedPageBreak/>
        <w:drawing>
          <wp:inline distT="0" distB="0" distL="0" distR="0" wp14:anchorId="2CBDEFFD" wp14:editId="0DAC82AC">
            <wp:extent cx="6211019" cy="2475781"/>
            <wp:effectExtent l="0" t="0" r="18415" b="20320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1D69FE">
        <w:rPr>
          <w:rFonts w:asciiTheme="majorBidi" w:hAnsiTheme="majorBidi" w:cstheme="majorBidi"/>
          <w:b/>
          <w:bCs/>
          <w:color w:val="000000"/>
          <w:sz w:val="24"/>
          <w:szCs w:val="24"/>
        </w:rPr>
        <w:t>Figure (3): Complication of mechanical ventilation in this study (N=126).</w:t>
      </w:r>
    </w:p>
    <w:p w:rsidR="00E3372D" w:rsidRPr="001D69FE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:rsidR="00E3372D" w:rsidRDefault="00E3372D" w:rsidP="00E337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3842B8" w:rsidRDefault="003842B8">
      <w:pPr>
        <w:rPr>
          <w:lang w:bidi="ar-EG"/>
        </w:rPr>
      </w:pPr>
    </w:p>
    <w:sectPr w:rsidR="003842B8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CF"/>
    <w:rsid w:val="000764CF"/>
    <w:rsid w:val="003842B8"/>
    <w:rsid w:val="0097058A"/>
    <w:rsid w:val="00E3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Sheet1!$B$389</c:f>
              <c:strCache>
                <c:ptCount val="1"/>
                <c:pt idx="0">
                  <c:v>&lt;34 weeks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1.8518518518518517E-2"/>
                </c:manualLayout>
              </c:layout>
              <c:spPr>
                <a:noFill/>
                <a:ln w="2513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ar-EG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DA-4438-ADF0-29A2F2260EE9}"/>
                </c:ext>
              </c:extLst>
            </c:dLbl>
            <c:dLbl>
              <c:idx val="1"/>
              <c:layout>
                <c:manualLayout>
                  <c:x val="2.5000000000000001E-2"/>
                  <c:y val="-6.9444444444444448E-2"/>
                </c:manualLayout>
              </c:layout>
              <c:spPr>
                <a:noFill/>
                <a:ln w="2513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ar-EG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DA-4438-ADF0-29A2F2260EE9}"/>
                </c:ext>
              </c:extLst>
            </c:dLbl>
            <c:spPr>
              <a:noFill/>
              <a:ln w="2513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Sheet1!$C$388:$D$388</c:f>
              <c:strCache>
                <c:ptCount val="2"/>
                <c:pt idx="0">
                  <c:v>Survived</c:v>
                </c:pt>
                <c:pt idx="1">
                  <c:v>Died</c:v>
                </c:pt>
              </c:strCache>
            </c:strRef>
          </c:cat>
          <c:val>
            <c:numRef>
              <c:f>Sheet1!$C$389:$D$389</c:f>
              <c:numCache>
                <c:formatCode>0.0%</c:formatCode>
                <c:ptCount val="2"/>
                <c:pt idx="0">
                  <c:v>0.10299999999999999</c:v>
                </c:pt>
                <c:pt idx="1">
                  <c:v>0.58799999999999997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DA-4438-ADF0-29A2F2260EE9}"/>
            </c:ext>
          </c:extLst>
        </c:ser>
        <c:ser>
          <c:idx val="1"/>
          <c:order val="1"/>
          <c:tx>
            <c:strRef>
              <c:f>Sheet1!$B$390</c:f>
              <c:strCache>
                <c:ptCount val="1"/>
                <c:pt idx="0">
                  <c:v>≥34 weeks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111111111111112E-2"/>
                  <c:y val="-3.7037037037037049E-2"/>
                </c:manualLayout>
              </c:layout>
              <c:spPr>
                <a:noFill/>
                <a:ln w="2513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ar-EG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DA-4438-ADF0-29A2F2260EE9}"/>
                </c:ext>
              </c:extLst>
            </c:dLbl>
            <c:dLbl>
              <c:idx val="1"/>
              <c:layout>
                <c:manualLayout>
                  <c:x val="2.2222222222222223E-2"/>
                  <c:y val="-3.2407407407407406E-2"/>
                </c:manualLayout>
              </c:layout>
              <c:spPr>
                <a:noFill/>
                <a:ln w="2513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ar-EG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DDA-4438-ADF0-29A2F2260EE9}"/>
                </c:ext>
              </c:extLst>
            </c:dLbl>
            <c:spPr>
              <a:noFill/>
              <a:ln w="2513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Sheet1!$C$388:$D$388</c:f>
              <c:strCache>
                <c:ptCount val="2"/>
                <c:pt idx="0">
                  <c:v>Survived</c:v>
                </c:pt>
                <c:pt idx="1">
                  <c:v>Died</c:v>
                </c:pt>
              </c:strCache>
            </c:strRef>
          </c:cat>
          <c:val>
            <c:numRef>
              <c:f>Sheet1!$C$390:$D$390</c:f>
              <c:numCache>
                <c:formatCode>0.0%</c:formatCode>
                <c:ptCount val="2"/>
                <c:pt idx="0">
                  <c:v>0.89700000000000002</c:v>
                </c:pt>
                <c:pt idx="1">
                  <c:v>0.41199999999999998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DDA-4438-ADF0-29A2F2260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299840"/>
        <c:axId val="110355584"/>
        <c:axId val="0"/>
      </c:bar3DChart>
      <c:catAx>
        <c:axId val="75299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9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Gestational sge (weeks)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10355584"/>
        <c:crosses val="autoZero"/>
        <c:auto val="1"/>
        <c:lblAlgn val="ctr"/>
        <c:lblOffset val="100"/>
        <c:noMultiLvlLbl val="0"/>
      </c:catAx>
      <c:valAx>
        <c:axId val="110355584"/>
        <c:scaling>
          <c:orientation val="minMax"/>
          <c:max val="1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%" sourceLinked="1"/>
        <c:majorTickMark val="out"/>
        <c:minorTickMark val="none"/>
        <c:tickLblPos val="nextTo"/>
        <c:spPr>
          <a:ln>
            <a:noFill/>
          </a:ln>
        </c:spPr>
        <c:crossAx val="75299840"/>
        <c:crosses val="autoZero"/>
        <c:crossBetween val="between"/>
        <c:majorUnit val="0.2"/>
      </c:valAx>
      <c:spPr>
        <a:noFill/>
        <a:ln w="25139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758463856277893"/>
          <c:y val="9.1668558388935131E-2"/>
          <c:w val="0.85429535284254143"/>
          <c:h val="0.9083314416110648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bg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4C9-4FC5-9C0D-A231D200BBB5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4C9-4FC5-9C0D-A231D200BBB5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4C9-4FC5-9C0D-A231D200BBB5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4C9-4FC5-9C0D-A231D200BBB5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4C9-4FC5-9C0D-A231D200BBB5}"/>
              </c:ext>
            </c:extLst>
          </c:dPt>
          <c:dPt>
            <c:idx val="5"/>
            <c:bubble3D val="0"/>
            <c:spPr>
              <a:ln>
                <a:solidFill>
                  <a:schemeClr val="accent6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4C9-4FC5-9C0D-A231D200BBB5}"/>
              </c:ext>
            </c:extLst>
          </c:dPt>
          <c:dPt>
            <c:idx val="6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4C9-4FC5-9C0D-A231D200BBB5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04C9-4FC5-9C0D-A231D200BBB5}"/>
              </c:ext>
            </c:extLst>
          </c:dPt>
          <c:dLbls>
            <c:dLbl>
              <c:idx val="0"/>
              <c:layout>
                <c:manualLayout>
                  <c:x val="-0.19807513563236054"/>
                  <c:y val="3.520736961557775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C9-4FC5-9C0D-A231D200BBB5}"/>
                </c:ext>
              </c:extLst>
            </c:dLbl>
            <c:dLbl>
              <c:idx val="1"/>
              <c:layout>
                <c:manualLayout>
                  <c:x val="2.0092744362346492E-3"/>
                  <c:y val="-0.224247112631136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C9-4FC5-9C0D-A231D200BBB5}"/>
                </c:ext>
              </c:extLst>
            </c:dLbl>
            <c:dLbl>
              <c:idx val="2"/>
              <c:layout>
                <c:manualLayout>
                  <c:x val="0.14002198281171532"/>
                  <c:y val="-0.1407592271305069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C9-4FC5-9C0D-A231D200BBB5}"/>
                </c:ext>
              </c:extLst>
            </c:dLbl>
            <c:dLbl>
              <c:idx val="3"/>
              <c:layout>
                <c:manualLayout>
                  <c:x val="-4.3745704797394491E-3"/>
                  <c:y val="6.681428447643178E-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Sepsis 7.9%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C9-4FC5-9C0D-A231D200BBB5}"/>
                </c:ext>
              </c:extLst>
            </c:dLbl>
            <c:dLbl>
              <c:idx val="5"/>
              <c:layout>
                <c:manualLayout>
                  <c:x val="4.0637018563812306E-2"/>
                  <c:y val="-6.900099073056199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Hypoglycemia 4%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4C9-4FC5-9C0D-A231D200BBB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Pneumothorax 3.2%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4C9-4FC5-9C0D-A231D200BBB5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4C9-4FC5-9C0D-A231D200BBB5}"/>
                </c:ext>
              </c:extLst>
            </c:dLbl>
            <c:spPr>
              <a:noFill/>
              <a:ln w="23381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EG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Sheet1!$B$363:$B$370</c:f>
              <c:strCache>
                <c:ptCount val="8"/>
                <c:pt idx="0">
                  <c:v>No complications</c:v>
                </c:pt>
                <c:pt idx="1">
                  <c:v>Pulmonary hemorrhage</c:v>
                </c:pt>
                <c:pt idx="2">
                  <c:v>Shock</c:v>
                </c:pt>
                <c:pt idx="3">
                  <c:v>sepsis</c:v>
                </c:pt>
                <c:pt idx="4">
                  <c:v>VAP</c:v>
                </c:pt>
                <c:pt idx="5">
                  <c:v>Hypoglycemia</c:v>
                </c:pt>
                <c:pt idx="6">
                  <c:v>pneumothorax</c:v>
                </c:pt>
                <c:pt idx="7">
                  <c:v>IVH</c:v>
                </c:pt>
              </c:strCache>
            </c:strRef>
          </c:cat>
          <c:val>
            <c:numRef>
              <c:f>Sheet1!$C$363:$C$370</c:f>
              <c:numCache>
                <c:formatCode>0.0%</c:formatCode>
                <c:ptCount val="8"/>
                <c:pt idx="0">
                  <c:v>0.38900000000000001</c:v>
                </c:pt>
                <c:pt idx="1">
                  <c:v>0.214</c:v>
                </c:pt>
                <c:pt idx="2">
                  <c:v>0.19800000000000001</c:v>
                </c:pt>
                <c:pt idx="3">
                  <c:v>7.9000000000000001E-2</c:v>
                </c:pt>
                <c:pt idx="4">
                  <c:v>4.8000000000000001E-2</c:v>
                </c:pt>
                <c:pt idx="5">
                  <c:v>0.04</c:v>
                </c:pt>
                <c:pt idx="6">
                  <c:v>3.2000000000000001E-2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04C9-4FC5-9C0D-A231D200B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3381">
          <a:noFill/>
        </a:ln>
      </c:spPr>
    </c:plotArea>
    <c:plotVisOnly val="1"/>
    <c:dispBlanksAs val="gap"/>
    <c:showDLblsOverMax val="0"/>
  </c:chart>
  <c:txPr>
    <a:bodyPr/>
    <a:lstStyle/>
    <a:p>
      <a:pPr>
        <a:defRPr sz="1105">
          <a:latin typeface="Times New Roman" panose="02020603050405020304" pitchFamily="18" charset="0"/>
          <a:cs typeface="Times New Roman" panose="02020603050405020304" pitchFamily="18" charset="0"/>
        </a:defRPr>
      </a:pPr>
      <a:endParaRPr lang="ar-EG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</cdr:x>
      <cdr:y>0.04248</cdr:y>
    </cdr:from>
    <cdr:to>
      <cdr:x>0.67892</cdr:x>
      <cdr:y>0.15278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116541"/>
          <a:ext cx="818029" cy="302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/>
            <a:t>p &lt; 0.001*</a:t>
          </a:r>
        </a:p>
      </cdr:txBody>
    </cdr:sp>
  </cdr:relSizeAnchor>
</c:userShape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2019-08-26T12:31:00Z</dcterms:created>
  <dcterms:modified xsi:type="dcterms:W3CDTF">2019-08-26T12:32:00Z</dcterms:modified>
</cp:coreProperties>
</file>