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48" w:rsidRDefault="00DF3E48" w:rsidP="00B17971">
      <w:pPr>
        <w:bidi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F3E4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1498F49" wp14:editId="5E0AE093">
            <wp:extent cx="5286375" cy="3095625"/>
            <wp:effectExtent l="0" t="0" r="9525" b="9525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Figure (</w:t>
      </w:r>
      <w:r w:rsidR="008F1823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): Comparison </w:t>
      </w:r>
      <w:r w:rsidR="006D7974">
        <w:rPr>
          <w:rFonts w:ascii="Times New Roman" w:eastAsia="Calibri" w:hAnsi="Times New Roman" w:cs="Times New Roman"/>
          <w:b/>
          <w:bCs/>
          <w:sz w:val="24"/>
          <w:szCs w:val="24"/>
        </w:rPr>
        <w:t>between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72D59"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patients cord &amp;</w:t>
      </w:r>
      <w:r w:rsidR="008F18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72D59"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serum (5</w:t>
      </w:r>
      <w:r w:rsidR="00584D54" w:rsidRPr="00584D5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th</w:t>
      </w:r>
      <w:r w:rsidR="00C7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72D59"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584D54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584D54" w:rsidRPr="00584D5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th</w:t>
      </w:r>
      <w:r w:rsidR="00584D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72D59"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day</w:t>
      </w:r>
      <w:r w:rsidR="00C72D59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C72D59"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C7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F18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levels 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and </w:t>
      </w:r>
      <w:r w:rsidR="00C72D59">
        <w:rPr>
          <w:rFonts w:ascii="Times New Roman" w:eastAsia="Calibri" w:hAnsi="Times New Roman" w:cs="Times New Roman"/>
          <w:b/>
          <w:bCs/>
          <w:sz w:val="24"/>
          <w:szCs w:val="24"/>
        </w:rPr>
        <w:t>that of control cord blood</w:t>
      </w:r>
      <w:r w:rsidR="002305C4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(pg/ml)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2305C4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9277E5" w:rsidRDefault="009277E5" w:rsidP="00B17971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77E5" w:rsidRDefault="009277E5" w:rsidP="009277E5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77E5" w:rsidRDefault="009277E5" w:rsidP="009277E5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77E5" w:rsidRDefault="009277E5" w:rsidP="009277E5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802B844" wp14:editId="2B63D282">
            <wp:extent cx="5429250" cy="3086100"/>
            <wp:effectExtent l="57150" t="38100" r="57150" b="76200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77E5" w:rsidRDefault="009277E5" w:rsidP="009277E5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7971" w:rsidRDefault="00B17971" w:rsidP="00B17971">
      <w:pPr>
        <w:bidi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Figure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): Comparison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between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patients cord &amp;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serum (5</w:t>
      </w:r>
      <w:r w:rsidRPr="00584D5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584D5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day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bilirubin levels 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that of control cord blood</w:t>
      </w:r>
      <w:r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g/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l)</w:t>
      </w:r>
      <w:r w:rsidRPr="00C72D5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B17971" w:rsidRDefault="00B17971" w:rsidP="00B17971">
      <w:pPr>
        <w:bidi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1B11" w:rsidRDefault="00CE44BF" w:rsidP="00955738">
      <w:pPr>
        <w:bidi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71506" wp14:editId="25CE3710">
                <wp:simplePos x="0" y="0"/>
                <wp:positionH relativeFrom="column">
                  <wp:posOffset>1123950</wp:posOffset>
                </wp:positionH>
                <wp:positionV relativeFrom="paragraph">
                  <wp:posOffset>198755</wp:posOffset>
                </wp:positionV>
                <wp:extent cx="790575" cy="4667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4BF" w:rsidRPr="00823CFC" w:rsidRDefault="00CE44BF" w:rsidP="00CE44BF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23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r=</w:t>
                            </w:r>
                            <w:r w:rsidRPr="001717C5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  <w:t>0.817</w:t>
                            </w:r>
                          </w:p>
                          <w:p w:rsidR="00CE44BF" w:rsidRPr="00823CFC" w:rsidRDefault="00CE44BF" w:rsidP="00CE44BF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23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P</w:t>
                            </w:r>
                            <w:r w:rsidRPr="001717C5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  <w:t>&lt;0.001*</w:t>
                            </w:r>
                          </w:p>
                          <w:p w:rsidR="00CE44BF" w:rsidRDefault="00CE44BF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5pt;margin-top:15.65pt;width:62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" fillcolor="white [3201]" strokeweight=".5pt">
                <v:textbox>
                  <w:txbxContent>
                    <w:p w:rsidR="00CE44BF" w:rsidRPr="00823CFC" w:rsidRDefault="00CE44BF" w:rsidP="00CE44BF">
                      <w:pPr>
                        <w:bidi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</w:pPr>
                      <w:r w:rsidRPr="00823CF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  <w:t>r=</w:t>
                      </w:r>
                      <w:r w:rsidRPr="001717C5"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  <w:t>0.817</w:t>
                      </w:r>
                    </w:p>
                    <w:p w:rsidR="00CE44BF" w:rsidRPr="00823CFC" w:rsidRDefault="00CE44BF" w:rsidP="00CE44BF">
                      <w:pPr>
                        <w:bidi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</w:pPr>
                      <w:r w:rsidRPr="00823CF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  <w:t>P</w:t>
                      </w:r>
                      <w:r w:rsidRPr="001717C5"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  <w:t>&lt;0.001*</w:t>
                      </w:r>
                    </w:p>
                    <w:p w:rsidR="00CE44BF" w:rsidRDefault="00CE44BF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6BE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object w:dxaOrig="9577" w:dyaOrig="6499">
          <v:rect id="rectole0000000000" o:spid="_x0000_i1025" style="width:434.25pt;height:265.5pt" o:ole="" o:preferrelative="t" stroked="f">
            <v:imagedata r:id="rId11" o:title=""/>
          </v:rect>
          <o:OLEObject Type="Embed" ProgID="StaticMetafile" ShapeID="rectole0000000000" DrawAspect="Content" ObjectID="_1648380544" r:id="rId12"/>
        </w:object>
      </w:r>
      <w:r w:rsidR="002D1B11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Figure</w:t>
      </w:r>
      <w:r w:rsidR="00E334B0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22F3F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95573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822F3F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2D1B11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: Correlation between cord H</w:t>
      </w:r>
      <w:r w:rsidR="002D1B11"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="002D1B11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2D1B11"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05C4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(pg/ml)</w:t>
      </w:r>
      <w:r w:rsidR="002305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D1B11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and cord bilirubin level</w:t>
      </w:r>
      <w:r w:rsidR="006D7974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2D1B11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among all </w:t>
      </w:r>
      <w:r w:rsidR="00C72D59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="002D1B11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eonates </w:t>
      </w:r>
      <w:r w:rsidR="002305C4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(mg/dl)</w:t>
      </w:r>
    </w:p>
    <w:p w:rsidR="009277E5" w:rsidRPr="00E334B0" w:rsidRDefault="009277E5" w:rsidP="009277E5">
      <w:pPr>
        <w:bidi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45EA1" w:rsidRPr="00345EA1" w:rsidRDefault="00345EA1" w:rsidP="00062EE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345EA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C97A" wp14:editId="69764F65">
                <wp:simplePos x="0" y="0"/>
                <wp:positionH relativeFrom="column">
                  <wp:posOffset>752475</wp:posOffset>
                </wp:positionH>
                <wp:positionV relativeFrom="paragraph">
                  <wp:posOffset>101600</wp:posOffset>
                </wp:positionV>
                <wp:extent cx="819150" cy="466725"/>
                <wp:effectExtent l="0" t="0" r="19050" b="2857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5EA1" w:rsidRPr="00823CFC" w:rsidRDefault="005A30D8" w:rsidP="00345EA1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r=0.</w:t>
                            </w:r>
                            <w:r w:rsidR="00345EA1" w:rsidRPr="00823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6</w:t>
                            </w:r>
                          </w:p>
                          <w:p w:rsidR="00345EA1" w:rsidRPr="00823CFC" w:rsidRDefault="00345EA1" w:rsidP="005A30D8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23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P&lt;0.</w:t>
                            </w:r>
                            <w:r w:rsidR="005A3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014</w:t>
                            </w:r>
                            <w:r w:rsidR="005A30D8" w:rsidRPr="001717C5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345EA1" w:rsidRPr="00823CFC" w:rsidRDefault="00345EA1" w:rsidP="00345EA1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59.25pt;margin-top:8pt;width:64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" fillcolor="window" strokeweight=".5pt">
                <v:path arrowok="t"/>
                <v:textbox>
                  <w:txbxContent>
                    <w:p w:rsidR="00345EA1" w:rsidRPr="00823CFC" w:rsidRDefault="005A30D8" w:rsidP="00345EA1">
                      <w:pPr>
                        <w:bidi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  <w:t>r=0.</w:t>
                      </w:r>
                      <w:r w:rsidR="00345EA1" w:rsidRPr="00823CF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  <w:t>6</w:t>
                      </w:r>
                    </w:p>
                    <w:p w:rsidR="00345EA1" w:rsidRPr="00823CFC" w:rsidRDefault="00345EA1" w:rsidP="005A30D8">
                      <w:pPr>
                        <w:bidi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</w:pPr>
                      <w:r w:rsidRPr="00823CF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  <w:t>P&lt;0.</w:t>
                      </w:r>
                      <w:r w:rsidR="005A30D8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  <w:t>014</w:t>
                      </w:r>
                      <w:r w:rsidR="005A30D8" w:rsidRPr="001717C5"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  <w:t>*</w:t>
                      </w:r>
                    </w:p>
                    <w:p w:rsidR="00345EA1" w:rsidRPr="00823CFC" w:rsidRDefault="00345EA1" w:rsidP="00345EA1">
                      <w:pPr>
                        <w:bidi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5EA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AD0BC1D" wp14:editId="34CDB05A">
            <wp:extent cx="5362574" cy="3057525"/>
            <wp:effectExtent l="95250" t="95250" r="86360" b="8572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654" cy="306156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35E2F" w:rsidRPr="00E334B0" w:rsidRDefault="00E334B0" w:rsidP="00955738">
      <w:pPr>
        <w:bidi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Figure </w:t>
      </w:r>
      <w:r w:rsidR="00822F3F" w:rsidRPr="00822F3F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95573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822F3F" w:rsidRPr="00822F3F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345EA1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Correlations between cord </w:t>
      </w:r>
      <w:r w:rsidR="006D7974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="006D7974"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="006D7974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6D7974"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="006D79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45EA1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and 5</w:t>
      </w:r>
      <w:r w:rsidR="00183E31" w:rsidRPr="00183E31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th</w:t>
      </w:r>
      <w:r w:rsidR="00345EA1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day bilirubin level</w:t>
      </w:r>
      <w:r w:rsidR="006D7974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</w:p>
    <w:p w:rsidR="00135E2F" w:rsidRPr="008D4622" w:rsidRDefault="00135E2F" w:rsidP="00135E2F">
      <w:pPr>
        <w:bidi w:val="0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BF6A5C" w:rsidRPr="00BF6A5C" w:rsidRDefault="00465336" w:rsidP="00E334B0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eastAsia="Calibri" w:hAnsi="Times New Roman" w:cs="Times New Roman"/>
          <w:sz w:val="28"/>
          <w:szCs w:val="28"/>
          <w:lang w:bidi="hi-IN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219710</wp:posOffset>
                </wp:positionV>
                <wp:extent cx="914400" cy="457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336" w:rsidRPr="00823CFC" w:rsidRDefault="00465336" w:rsidP="0046533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23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r=</w:t>
                            </w:r>
                            <w:r w:rsidR="00E42361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114D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  <w:t>0.60</w:t>
                            </w:r>
                          </w:p>
                          <w:p w:rsidR="00465336" w:rsidRPr="00823CFC" w:rsidRDefault="00465336" w:rsidP="0046533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23C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t>P</w:t>
                            </w:r>
                            <w:r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Pr="001717C5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  <w:t>0.001*</w:t>
                            </w:r>
                            <w:r w:rsidR="0061114D" w:rsidRPr="001717C5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465336" w:rsidRPr="00823CFC" w:rsidRDefault="00465336" w:rsidP="00465336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  <w:p w:rsidR="00465336" w:rsidRDefault="00465336" w:rsidP="00465336">
                            <w:pPr>
                              <w:bidi w:val="0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81.75pt;margin-top:17.3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" fillcolor="white [3201]" strokeweight=".5pt">
                <v:textbox>
                  <w:txbxContent>
                    <w:p w:rsidR="00465336" w:rsidRPr="00823CFC" w:rsidRDefault="00465336" w:rsidP="00465336">
                      <w:pPr>
                        <w:bidi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</w:pPr>
                      <w:r w:rsidRPr="00823CF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  <w:t>r=</w:t>
                      </w:r>
                      <w:r w:rsidR="00E42361"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61114D"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  <w:t>0.60</w:t>
                      </w:r>
                    </w:p>
                    <w:p w:rsidR="00465336" w:rsidRPr="00823CFC" w:rsidRDefault="00465336" w:rsidP="00465336">
                      <w:pPr>
                        <w:bidi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</w:pPr>
                      <w:r w:rsidRPr="00823CF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  <w:t>P</w:t>
                      </w:r>
                      <w:r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  <w:t xml:space="preserve">= </w:t>
                      </w:r>
                      <w:r w:rsidRPr="001717C5"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  <w:t>0.001*</w:t>
                      </w:r>
                      <w:r w:rsidR="0061114D" w:rsidRPr="001717C5"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  <w:t>*</w:t>
                      </w:r>
                    </w:p>
                    <w:p w:rsidR="00465336" w:rsidRPr="00823CFC" w:rsidRDefault="00465336" w:rsidP="00465336">
                      <w:pPr>
                        <w:bidi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ar-EG"/>
                        </w:rPr>
                      </w:pPr>
                    </w:p>
                    <w:p w:rsidR="00465336" w:rsidRDefault="00465336" w:rsidP="00465336">
                      <w:pPr>
                        <w:bidi w:val="0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A5C" w:rsidRPr="00BF6A5C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06058EF" wp14:editId="6B40A8F4">
            <wp:extent cx="5362575" cy="3019425"/>
            <wp:effectExtent l="95250" t="95250" r="104775" b="10477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94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B76BE" w:rsidRDefault="00E334B0" w:rsidP="00955738">
      <w:pPr>
        <w:bidi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Figure </w:t>
      </w:r>
      <w:r w:rsidR="00062EEB" w:rsidRPr="00E334B0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95573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062EEB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BF6A5C"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>: Correlation between cord H</w:t>
      </w:r>
      <w:r w:rsidR="00BF6A5C"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="00BF6A5C"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BF6A5C"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="00BF6A5C"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A74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and </w:t>
      </w:r>
      <w:r w:rsidR="00BF6A5C"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>bilirubin</w:t>
      </w:r>
      <w:r w:rsidR="003A74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levels</w:t>
      </w:r>
      <w:r w:rsidR="00BF6A5C"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at</w:t>
      </w:r>
      <w:r w:rsidR="006D79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A74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the </w:t>
      </w:r>
      <w:r w:rsidR="00BF6A5C"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BF6A5C" w:rsidRPr="00183E31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th</w:t>
      </w:r>
      <w:r w:rsidR="00BF6A5C"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day</w:t>
      </w:r>
    </w:p>
    <w:p w:rsidR="008B76BE" w:rsidRDefault="008B76BE" w:rsidP="008B76BE">
      <w:pPr>
        <w:bidi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76BE" w:rsidRDefault="008B76BE" w:rsidP="008B76BE">
      <w:pPr>
        <w:bidi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02BA" w:rsidRPr="00E334B0" w:rsidRDefault="00BF6A5C" w:rsidP="00955738">
      <w:pPr>
        <w:bidi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5CE5E" wp14:editId="489AEC33">
            <wp:extent cx="5191125" cy="2714625"/>
            <wp:effectExtent l="95250" t="95250" r="104775" b="104775"/>
            <wp:docPr id="7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7146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>Figure (</w:t>
      </w:r>
      <w:r w:rsidR="00955738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>):</w:t>
      </w:r>
      <w:r w:rsidRPr="005B7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34B0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>ensitivity</w:t>
      </w:r>
      <w:r w:rsidR="005A0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and </w:t>
      </w:r>
      <w:r w:rsidR="005A02BA"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>specificity</w:t>
      </w:r>
      <w:r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 cord H</w:t>
      </w:r>
      <w:r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6D7974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 </w:t>
      </w:r>
      <w:r w:rsidR="003A74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predictor </w:t>
      </w:r>
      <w:r w:rsidR="003A7460">
        <w:rPr>
          <w:rFonts w:ascii="Times New Roman" w:eastAsia="Calibri" w:hAnsi="Times New Roman" w:cs="Times New Roman"/>
          <w:b/>
          <w:bCs/>
          <w:sz w:val="24"/>
          <w:szCs w:val="24"/>
        </w:rPr>
        <w:t>for</w:t>
      </w:r>
      <w:r w:rsidRPr="005B7B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neonatal </w:t>
      </w:r>
      <w:r w:rsidR="003A74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indirect </w:t>
      </w:r>
      <w:r w:rsidR="005A02BA">
        <w:rPr>
          <w:rFonts w:ascii="Times New Roman" w:eastAsia="Calibri" w:hAnsi="Times New Roman" w:cs="Times New Roman"/>
          <w:b/>
          <w:bCs/>
          <w:sz w:val="24"/>
          <w:szCs w:val="24"/>
        </w:rPr>
        <w:t>hyperbilirubinemia.</w:t>
      </w:r>
    </w:p>
    <w:sectPr w:rsidR="005A02BA" w:rsidRPr="00E334B0" w:rsidSect="006C4A36"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D7" w:rsidRDefault="00C24AD7" w:rsidP="00E7647B">
      <w:pPr>
        <w:spacing w:after="0" w:line="240" w:lineRule="auto"/>
      </w:pPr>
      <w:r>
        <w:separator/>
      </w:r>
    </w:p>
  </w:endnote>
  <w:endnote w:type="continuationSeparator" w:id="0">
    <w:p w:rsidR="00C24AD7" w:rsidRDefault="00C24AD7" w:rsidP="00E7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3086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9D8" w:rsidRDefault="00FB39D8" w:rsidP="00FB39D8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F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647B" w:rsidRDefault="00E7647B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D7" w:rsidRDefault="00C24AD7" w:rsidP="00E7647B">
      <w:pPr>
        <w:spacing w:after="0" w:line="240" w:lineRule="auto"/>
      </w:pPr>
      <w:r>
        <w:separator/>
      </w:r>
    </w:p>
  </w:footnote>
  <w:footnote w:type="continuationSeparator" w:id="0">
    <w:p w:rsidR="00C24AD7" w:rsidRDefault="00C24AD7" w:rsidP="00E7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B86"/>
    <w:multiLevelType w:val="multilevel"/>
    <w:tmpl w:val="435A33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97527"/>
    <w:multiLevelType w:val="multilevel"/>
    <w:tmpl w:val="73621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C23AEB"/>
    <w:multiLevelType w:val="multilevel"/>
    <w:tmpl w:val="32DC7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5E"/>
    <w:rsid w:val="00062EEB"/>
    <w:rsid w:val="00086BD0"/>
    <w:rsid w:val="00101999"/>
    <w:rsid w:val="0012693B"/>
    <w:rsid w:val="00135E2F"/>
    <w:rsid w:val="00183E31"/>
    <w:rsid w:val="001D343E"/>
    <w:rsid w:val="0022579A"/>
    <w:rsid w:val="002305C4"/>
    <w:rsid w:val="002B295E"/>
    <w:rsid w:val="002D1B11"/>
    <w:rsid w:val="00345EA1"/>
    <w:rsid w:val="003A7460"/>
    <w:rsid w:val="004627D4"/>
    <w:rsid w:val="00465336"/>
    <w:rsid w:val="00580A03"/>
    <w:rsid w:val="00584D54"/>
    <w:rsid w:val="005A02BA"/>
    <w:rsid w:val="005A30D8"/>
    <w:rsid w:val="005B7BDC"/>
    <w:rsid w:val="0061114D"/>
    <w:rsid w:val="006318E5"/>
    <w:rsid w:val="006A40F0"/>
    <w:rsid w:val="006A5F3A"/>
    <w:rsid w:val="006C4A36"/>
    <w:rsid w:val="006D7974"/>
    <w:rsid w:val="00761B35"/>
    <w:rsid w:val="00822F3F"/>
    <w:rsid w:val="008B76BE"/>
    <w:rsid w:val="008C6E0A"/>
    <w:rsid w:val="008F1823"/>
    <w:rsid w:val="009137B5"/>
    <w:rsid w:val="009277E5"/>
    <w:rsid w:val="00955738"/>
    <w:rsid w:val="009777D1"/>
    <w:rsid w:val="009B0353"/>
    <w:rsid w:val="00B17971"/>
    <w:rsid w:val="00B71FB3"/>
    <w:rsid w:val="00BB06C3"/>
    <w:rsid w:val="00BF6A5C"/>
    <w:rsid w:val="00C24AD7"/>
    <w:rsid w:val="00C67E95"/>
    <w:rsid w:val="00C72D59"/>
    <w:rsid w:val="00CC083D"/>
    <w:rsid w:val="00CE44BF"/>
    <w:rsid w:val="00DA2079"/>
    <w:rsid w:val="00DF3E48"/>
    <w:rsid w:val="00E334B0"/>
    <w:rsid w:val="00E42361"/>
    <w:rsid w:val="00E52D1B"/>
    <w:rsid w:val="00E7647B"/>
    <w:rsid w:val="00F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11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E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7B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76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7B"/>
    <w:rPr>
      <w:rFonts w:ascii="Calibri" w:eastAsia="Times New Roman" w:hAnsi="Calibri" w:cs="Arial"/>
    </w:rPr>
  </w:style>
  <w:style w:type="paragraph" w:styleId="NoSpacing">
    <w:name w:val="No Spacing"/>
    <w:link w:val="NoSpacingChar"/>
    <w:uiPriority w:val="1"/>
    <w:qFormat/>
    <w:rsid w:val="00E7647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7647B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11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E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7B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76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7B"/>
    <w:rPr>
      <w:rFonts w:ascii="Calibri" w:eastAsia="Times New Roman" w:hAnsi="Calibri" w:cs="Arial"/>
    </w:rPr>
  </w:style>
  <w:style w:type="paragraph" w:styleId="NoSpacing">
    <w:name w:val="No Spacing"/>
    <w:link w:val="NoSpacingChar"/>
    <w:uiPriority w:val="1"/>
    <w:qFormat/>
    <w:rsid w:val="00E7647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7647B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Windows%20Xp\Desktop\New%20Microsoft%20Excel%2097-2003%20Worksheet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5740106288784696E-2"/>
          <c:y val="0.19433460910265471"/>
          <c:w val="0.8464703439881236"/>
          <c:h val="0.672510827787393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9">
              <a:solidFill>
                <a:schemeClr val="bg1"/>
              </a:solidFill>
            </a:ln>
          </c:spPr>
          <c:invertIfNegative val="0"/>
          <c:dPt>
            <c:idx val="1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  <a:ln w="28579">
                <a:solidFill>
                  <a:schemeClr val="bg1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9">
                <a:solidFill>
                  <a:schemeClr val="bg1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 w="28579">
                <a:solidFill>
                  <a:schemeClr val="bg1"/>
                </a:solidFill>
              </a:ln>
            </c:spPr>
          </c:dPt>
          <c:dLbls>
            <c:spPr>
              <a:noFill/>
              <a:ln w="25403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Cord H2O2 of cases</c:v>
                </c:pt>
                <c:pt idx="1">
                  <c:v>H2O2 5th day</c:v>
                </c:pt>
                <c:pt idx="2">
                  <c:v>H2O2 7th day</c:v>
                </c:pt>
                <c:pt idx="3">
                  <c:v>Cord H2O2 of controls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42.7</c:v>
                </c:pt>
                <c:pt idx="1">
                  <c:v>128.4</c:v>
                </c:pt>
                <c:pt idx="2">
                  <c:v>84.5</c:v>
                </c:pt>
                <c:pt idx="3">
                  <c:v>24.7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734400"/>
        <c:axId val="93735936"/>
      </c:barChart>
      <c:catAx>
        <c:axId val="9373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3735936"/>
        <c:crosses val="autoZero"/>
        <c:auto val="1"/>
        <c:lblAlgn val="ctr"/>
        <c:lblOffset val="100"/>
        <c:noMultiLvlLbl val="0"/>
      </c:catAx>
      <c:valAx>
        <c:axId val="937359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MEAN LEVEL OF H2O2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3734400"/>
        <c:crosses val="autoZero"/>
        <c:crossBetween val="between"/>
      </c:valAx>
      <c:spPr>
        <a:solidFill>
          <a:schemeClr val="bg2"/>
        </a:solidFill>
      </c:spPr>
    </c:plotArea>
    <c:plotVisOnly val="1"/>
    <c:dispBlanksAs val="gap"/>
    <c:showDLblsOverMax val="0"/>
  </c:chart>
  <c:spPr>
    <a:solidFill>
      <a:sysClr val="window" lastClr="FFFFFF"/>
    </a:solidFill>
    <a:ln w="25400" cap="flat" cmpd="sng" algn="ctr">
      <a:solidFill>
        <a:srgbClr val="C0504D"/>
      </a:solidFill>
      <a:prstDash val="solid"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ar-E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  <c:spPr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backWall>
    <c:plotArea>
      <c:layout>
        <c:manualLayout>
          <c:layoutTarget val="inner"/>
          <c:xMode val="edge"/>
          <c:yMode val="edge"/>
          <c:x val="5.029442372335037E-2"/>
          <c:y val="2.5113249732672305E-2"/>
          <c:w val="0.94970557627664964"/>
          <c:h val="0.8421431580311720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Sheet1!$F$19</c:f>
              <c:strCache>
                <c:ptCount val="1"/>
                <c:pt idx="0">
                  <c:v>Mean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 w="25400" cap="flat" cmpd="sng" algn="ctr">
                <a:solidFill>
                  <a:schemeClr val="accent3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cat>
            <c:strRef>
              <c:f>Sheet1!$B$20:$E$23</c:f>
              <c:strCache>
                <c:ptCount val="4"/>
                <c:pt idx="0">
                  <c:v>Cord Bilirubin of cases</c:v>
                </c:pt>
                <c:pt idx="1">
                  <c:v>5th day Bilirubin</c:v>
                </c:pt>
                <c:pt idx="2">
                  <c:v>7th day Bilirubin</c:v>
                </c:pt>
                <c:pt idx="3">
                  <c:v>Cord Bilirubin of controls</c:v>
                </c:pt>
              </c:strCache>
            </c:strRef>
          </c:cat>
          <c:val>
            <c:numRef>
              <c:f>Sheet1!$F$20:$F$23</c:f>
              <c:numCache>
                <c:formatCode>General</c:formatCode>
                <c:ptCount val="4"/>
                <c:pt idx="0">
                  <c:v>5.2</c:v>
                </c:pt>
                <c:pt idx="1">
                  <c:v>13.8</c:v>
                </c:pt>
                <c:pt idx="2">
                  <c:v>7.05</c:v>
                </c:pt>
                <c:pt idx="3">
                  <c:v>1.5</c:v>
                </c:pt>
              </c:numCache>
            </c:numRef>
          </c:val>
        </c:ser>
        <c:ser>
          <c:idx val="1"/>
          <c:order val="1"/>
          <c:tx>
            <c:strRef>
              <c:f>Sheet1!$G$19</c:f>
              <c:strCache>
                <c:ptCount val="1"/>
              </c:strCache>
            </c:strRef>
          </c:tx>
          <c:invertIfNegative val="0"/>
          <c:cat>
            <c:strRef>
              <c:f>Sheet1!$B$20:$E$23</c:f>
              <c:strCache>
                <c:ptCount val="4"/>
                <c:pt idx="0">
                  <c:v>Cord Bilirubin of cases</c:v>
                </c:pt>
                <c:pt idx="1">
                  <c:v>5th day Bilirubin</c:v>
                </c:pt>
                <c:pt idx="2">
                  <c:v>7th day Bilirubin</c:v>
                </c:pt>
                <c:pt idx="3">
                  <c:v>Cord Bilirubin of controls</c:v>
                </c:pt>
              </c:strCache>
            </c:strRef>
          </c:cat>
          <c:val>
            <c:numRef>
              <c:f>Sheet1!$G$20:$G$23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3763840"/>
        <c:axId val="93773824"/>
        <c:axId val="0"/>
      </c:bar3DChart>
      <c:catAx>
        <c:axId val="93763840"/>
        <c:scaling>
          <c:orientation val="minMax"/>
        </c:scaling>
        <c:delete val="0"/>
        <c:axPos val="b"/>
        <c:majorTickMark val="out"/>
        <c:minorTickMark val="none"/>
        <c:tickLblPos val="nextTo"/>
        <c:crossAx val="93773824"/>
        <c:crosses val="autoZero"/>
        <c:auto val="1"/>
        <c:lblAlgn val="ctr"/>
        <c:lblOffset val="100"/>
        <c:noMultiLvlLbl val="0"/>
      </c:catAx>
      <c:valAx>
        <c:axId val="937738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Mean level  (mgldl)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3763840"/>
        <c:crosses val="autoZero"/>
        <c:crossBetween val="between"/>
      </c:valAx>
      <c:spPr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c:spPr>
    </c:plotArea>
    <c:plotVisOnly val="1"/>
    <c:dispBlanksAs val="gap"/>
    <c:showDLblsOverMax val="0"/>
  </c:chart>
  <c:spPr>
    <a:gradFill rotWithShape="1">
      <a:gsLst>
        <a:gs pos="0">
          <a:srgbClr val="4F81BD">
            <a:tint val="50000"/>
            <a:satMod val="300000"/>
          </a:srgbClr>
        </a:gs>
        <a:gs pos="35000">
          <a:srgbClr val="4F81BD">
            <a:tint val="37000"/>
            <a:satMod val="300000"/>
          </a:srgbClr>
        </a:gs>
        <a:gs pos="100000">
          <a:srgbClr val="4F81BD">
            <a:tint val="15000"/>
            <a:satMod val="350000"/>
          </a:srgbClr>
        </a:gs>
      </a:gsLst>
      <a:lin ang="16200000" scaled="1"/>
    </a:gradFill>
    <a:ln w="9525" cap="flat" cmpd="sng" algn="ctr">
      <a:solidFill>
        <a:srgbClr val="4F81BD">
          <a:shade val="95000"/>
          <a:satMod val="105000"/>
        </a:srgb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ar-E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A4E0-AA98-40E2-9070-B1E4CBCF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pcc</cp:lastModifiedBy>
  <cp:revision>2</cp:revision>
  <dcterms:created xsi:type="dcterms:W3CDTF">2020-04-14T12:43:00Z</dcterms:created>
  <dcterms:modified xsi:type="dcterms:W3CDTF">2020-04-14T12:43:00Z</dcterms:modified>
</cp:coreProperties>
</file>